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919E7" w14:textId="77777777" w:rsidR="00516D02" w:rsidRDefault="00C325DA" w:rsidP="00C325DA">
      <w:pPr>
        <w:jc w:val="center"/>
        <w:rPr>
          <w:b/>
        </w:rPr>
      </w:pPr>
      <w:r w:rsidRPr="00C325DA">
        <w:rPr>
          <w:b/>
        </w:rPr>
        <w:t xml:space="preserve">Position Announcement for </w:t>
      </w:r>
      <w:r>
        <w:rPr>
          <w:b/>
        </w:rPr>
        <w:t xml:space="preserve">Assistant Professor in Psychological Science (#06284) </w:t>
      </w:r>
      <w:r>
        <w:rPr>
          <w:b/>
        </w:rPr>
        <w:br/>
        <w:t xml:space="preserve">in </w:t>
      </w:r>
      <w:r w:rsidRPr="00C325DA">
        <w:rPr>
          <w:b/>
        </w:rPr>
        <w:t>T</w:t>
      </w:r>
      <w:r>
        <w:rPr>
          <w:b/>
        </w:rPr>
        <w:t>echnology &amp; Education</w:t>
      </w:r>
      <w:r w:rsidRPr="00C325DA">
        <w:rPr>
          <w:b/>
        </w:rPr>
        <w:t xml:space="preserve"> Cluster</w:t>
      </w:r>
    </w:p>
    <w:p w14:paraId="672A6659" w14:textId="77777777" w:rsidR="00C325DA" w:rsidRDefault="00C325DA" w:rsidP="00C325DA">
      <w:pPr>
        <w:jc w:val="center"/>
        <w:rPr>
          <w:b/>
        </w:rPr>
      </w:pPr>
    </w:p>
    <w:p w14:paraId="1EA79BBC" w14:textId="49ECC3DB" w:rsidR="00C325DA" w:rsidRDefault="4F1E6609" w:rsidP="00C325DA">
      <w:r>
        <w:t>Southern Methodist University (SMU), a nationally-ranked, private, non-sectarian research institution located in one of the nation’s largest and fastest-growing metropolitan areas</w:t>
      </w:r>
      <w:r w:rsidR="005A2DB8">
        <w:t>,</w:t>
      </w:r>
      <w:r>
        <w:t xml:space="preserve"> is seeking to establish several interdisciplinary clusters to strengthen its research mission. One of these clusters focuses on Technology Enhanced Immersive Learning (TEIL), broadly construed. In support of this effort in TEIL, </w:t>
      </w:r>
      <w:r w:rsidR="006F612D">
        <w:t xml:space="preserve">Dedman College’s Department of Psychology at SMU </w:t>
      </w:r>
      <w:r>
        <w:t xml:space="preserve">invites applications for a tenure-track Assistant Professor in psychological science (position #06284) to begin August 2022. </w:t>
      </w:r>
    </w:p>
    <w:p w14:paraId="0A37501D" w14:textId="77777777" w:rsidR="00C325DA" w:rsidRDefault="00C325DA" w:rsidP="00C325DA"/>
    <w:p w14:paraId="6C319279" w14:textId="2AEAE42F" w:rsidR="00C325DA" w:rsidRDefault="4F1E6609" w:rsidP="00C325DA">
      <w:r>
        <w:t xml:space="preserve">Successful candidates will be investigating technology or applying technology: (1) in research examining psychological processes related to technology-enhanced instruction, learning or assessment, that has a substantial social impact, or (2) in research designed to enhance specific understanding of the development or maintenance of psychological phenomena or important social problems, or (3) in research on the assessment, prevention, and/or treatment of psychopathology symptoms, health conditions, or social problems. The specific form of technology being used is open, but examples with significant potential to enhance SMU capacity in TEIL include: (1) the application of immersive learning technologies to improve learning or facilitate behavior change (e.g., augmented reality, virtual reality, mixed reality, motion capture, game-based learning) and (2) artificial intelligence (e.g., machine learning) to enhance instruction, learning, assessment, or intervention. </w:t>
      </w:r>
    </w:p>
    <w:p w14:paraId="5DAB6C7B" w14:textId="77777777" w:rsidR="00C325DA" w:rsidRDefault="00C325DA" w:rsidP="00C325DA"/>
    <w:p w14:paraId="648A8DDD" w14:textId="77777777" w:rsidR="00C325DA" w:rsidRDefault="00C325DA" w:rsidP="00C325DA">
      <w:r>
        <w:t xml:space="preserve">Applicants with a Ph.D. in any area of psychology will be considered; however, successful candidates must be able to contribute meaningfully to our doctoral program in clinical science. A Ph.D. is required at the time of the appointment. Candidates should demonstrate the ability to establish and maintain a rigorous and highly productive research program that can generate external funding. Candidates also must be committed to excellence in teaching and mentoring at both the undergraduate and graduate levels. Successful candidates will have a collaborative, interdisciplinary approach to research and will be experienced working with multidisciplinary teams. </w:t>
      </w:r>
    </w:p>
    <w:p w14:paraId="02EB378F" w14:textId="77777777" w:rsidR="00C325DA" w:rsidRDefault="00C325DA" w:rsidP="00C325DA"/>
    <w:p w14:paraId="0593CEE5" w14:textId="33B83F21" w:rsidR="00C325DA" w:rsidRDefault="4F1E6609" w:rsidP="00C325DA">
      <w:r>
        <w:t xml:space="preserve">SMU has many strengths to support research in TEIL, including the SMU Guildhall – one of the top graduate programs in the U.S. in video game development. Guildhall developers work with researchers across the SMU campus and have ongoing collaborations with faculty in the </w:t>
      </w:r>
      <w:r w:rsidR="006F612D">
        <w:t xml:space="preserve">Dedman College Department of Psychology </w:t>
      </w:r>
      <w:r>
        <w:t xml:space="preserve">and </w:t>
      </w:r>
      <w:r w:rsidR="006F612D">
        <w:t>the Simmons School of Education and Human Development</w:t>
      </w:r>
      <w:r>
        <w:t>. SMU is also home to one of the fastest and most powerful academic supercomputers in the nation (</w:t>
      </w:r>
      <w:proofErr w:type="spellStart"/>
      <w:r>
        <w:t>ManeFrame</w:t>
      </w:r>
      <w:proofErr w:type="spellEnd"/>
      <w:r>
        <w:t xml:space="preserve"> II). </w:t>
      </w:r>
      <w:proofErr w:type="spellStart"/>
      <w:r>
        <w:t>Maneframe</w:t>
      </w:r>
      <w:proofErr w:type="spellEnd"/>
      <w:r>
        <w:t xml:space="preserve"> II is currently being upgraded to include an NVIDIA DGX </w:t>
      </w:r>
      <w:proofErr w:type="spellStart"/>
      <w:r>
        <w:t>SuperPod</w:t>
      </w:r>
      <w:proofErr w:type="spellEnd"/>
      <w:r>
        <w:t xml:space="preserve"> with a theoretical performance of 100 PFLOPS for AI calculations that is available for use by all faculty and graduate students.  SMU will be one of only two universities in the U.S. to have a DGX </w:t>
      </w:r>
      <w:proofErr w:type="spellStart"/>
      <w:r>
        <w:t>SuperPod</w:t>
      </w:r>
      <w:proofErr w:type="spellEnd"/>
      <w:r>
        <w:t xml:space="preserve">. </w:t>
      </w:r>
    </w:p>
    <w:p w14:paraId="6A05A809" w14:textId="77777777" w:rsidR="00C325DA" w:rsidRDefault="00C325DA" w:rsidP="00C325DA"/>
    <w:p w14:paraId="5A39BBE3" w14:textId="38243E47" w:rsidR="00C325DA" w:rsidRDefault="4F1E6609" w:rsidP="00C325DA">
      <w:r>
        <w:t xml:space="preserve">Current faculty members in the Psychology Department collaborate extensively with one another and have established strong collaborative relationships with researchers in other </w:t>
      </w:r>
      <w:r>
        <w:lastRenderedPageBreak/>
        <w:t xml:space="preserve">disciplines at SMU, as well as medical centers, community agencies, and schools in the Dallas/Fort Worth area. Our doctoral program in clinical science is a member of the Academy of Psychological Clinical Science and accredited by the American Psychological Association. For additional information about our faculty, the doctoral program and the department, visit </w:t>
      </w:r>
      <w:hyperlink r:id="rId5">
        <w:r w:rsidRPr="4F1E6609">
          <w:rPr>
            <w:rStyle w:val="Hyperlink"/>
          </w:rPr>
          <w:t>https://www.smu.edu/dedman/academics/departments/psychology</w:t>
        </w:r>
      </w:hyperlink>
      <w:r>
        <w:t xml:space="preserve">. </w:t>
      </w:r>
    </w:p>
    <w:p w14:paraId="3ECC2240" w14:textId="7B71781B" w:rsidR="4F1E6609" w:rsidRDefault="4F1E6609" w:rsidP="4F1E6609"/>
    <w:p w14:paraId="40354FDE" w14:textId="670703E1" w:rsidR="00C325DA" w:rsidRDefault="4F1E6609" w:rsidP="00C325DA">
      <w:r>
        <w:t xml:space="preserve">Applications must be submitted electronically via </w:t>
      </w:r>
      <w:proofErr w:type="spellStart"/>
      <w:r>
        <w:t>Interfolio</w:t>
      </w:r>
      <w:proofErr w:type="spellEnd"/>
      <w:r>
        <w:t xml:space="preserve"> to </w:t>
      </w:r>
      <w:hyperlink r:id="rId6">
        <w:r w:rsidRPr="4F1E6609">
          <w:rPr>
            <w:rStyle w:val="Hyperlink"/>
          </w:rPr>
          <w:t>https://apply.interfolio.com/97696</w:t>
        </w:r>
      </w:hyperlink>
      <w:r>
        <w:t xml:space="preserve">. The application should include a curriculum vitae, a statement of research, a statement of teaching philosophy and interests, up to 4 representative publications or preprints, evidence of teaching effectiveness, and a 1-page statement on how the applicant will enhance the diversity of our faculty and its research, and best serve a diverse student body. Three letters of reference should be sent separately. All materials should be submitted electronically through </w:t>
      </w:r>
      <w:proofErr w:type="spellStart"/>
      <w:r>
        <w:t>Interfolio</w:t>
      </w:r>
      <w:proofErr w:type="spellEnd"/>
      <w:r>
        <w:t xml:space="preserve">. To ensure full consideration for these positions, the application must be received by January </w:t>
      </w:r>
      <w:r w:rsidR="00130FE6">
        <w:t>31</w:t>
      </w:r>
      <w:r>
        <w:t>, 2022, but the committee will continue to accept applications until the position is filled. For questions about the search submission process or position, contact Dr. Eric G. Bing (</w:t>
      </w:r>
      <w:hyperlink r:id="rId7">
        <w:r w:rsidRPr="4F1E6609">
          <w:rPr>
            <w:rStyle w:val="Hyperlink"/>
          </w:rPr>
          <w:t>ebing@smu.edu</w:t>
        </w:r>
      </w:hyperlink>
      <w:r>
        <w:t>) or Dr. Tony Cuevas (</w:t>
      </w:r>
      <w:hyperlink r:id="rId8">
        <w:r w:rsidRPr="4F1E6609">
          <w:rPr>
            <w:rStyle w:val="Hyperlink"/>
          </w:rPr>
          <w:t>acuevas@smu.edu</w:t>
        </w:r>
      </w:hyperlink>
      <w:r>
        <w:t xml:space="preserve">), TEIL Cluster Search Committee Co-Chairs. The committee will notify applicants of its employment decisions after the position is filled. </w:t>
      </w:r>
    </w:p>
    <w:p w14:paraId="3D517853" w14:textId="5D33F874" w:rsidR="00C325DA" w:rsidRPr="00C325DA" w:rsidRDefault="00C325DA" w:rsidP="4F1E6609">
      <w:bookmarkStart w:id="0" w:name="_GoBack"/>
      <w:bookmarkEnd w:id="0"/>
    </w:p>
    <w:p w14:paraId="48427867" w14:textId="626053F0" w:rsidR="00C325DA" w:rsidRPr="00C325DA" w:rsidRDefault="4F1E6609" w:rsidP="4F1E6609">
      <w:r>
        <w:t xml:space="preserve">Complementing this TEIL cluster position are three additional faculty positions in TEIL whose primary appointments will be in the Simmons School of Education and Human Development at the rank of full (position #53260) </w:t>
      </w:r>
      <w:r w:rsidRPr="4F1E6609">
        <w:rPr>
          <w:rFonts w:ascii="Verdana" w:eastAsia="Verdana" w:hAnsi="Verdana" w:cs="Verdana"/>
          <w:color w:val="000000" w:themeColor="text1"/>
          <w:sz w:val="22"/>
          <w:szCs w:val="22"/>
        </w:rPr>
        <w:t>(</w:t>
      </w:r>
      <w:hyperlink r:id="rId9">
        <w:r w:rsidRPr="4F1E6609">
          <w:rPr>
            <w:rStyle w:val="Hyperlink"/>
            <w:rFonts w:ascii="Calibri" w:eastAsia="Calibri" w:hAnsi="Calibri" w:cs="Calibri"/>
            <w:sz w:val="22"/>
            <w:szCs w:val="22"/>
          </w:rPr>
          <w:t>https://apply.interfolio.com/97693</w:t>
        </w:r>
      </w:hyperlink>
      <w:r w:rsidRPr="4F1E6609">
        <w:rPr>
          <w:rFonts w:ascii="Verdana" w:eastAsia="Verdana" w:hAnsi="Verdana" w:cs="Verdana"/>
          <w:color w:val="000000" w:themeColor="text1"/>
          <w:sz w:val="22"/>
          <w:szCs w:val="22"/>
        </w:rPr>
        <w:t>)</w:t>
      </w:r>
      <w:r>
        <w:t xml:space="preserve">, and associate (position #53590) professor </w:t>
      </w:r>
      <w:r w:rsidRPr="4F1E6609">
        <w:rPr>
          <w:rFonts w:ascii="Verdana" w:eastAsia="Verdana" w:hAnsi="Verdana" w:cs="Verdana"/>
          <w:color w:val="000000" w:themeColor="text1"/>
          <w:sz w:val="22"/>
          <w:szCs w:val="22"/>
        </w:rPr>
        <w:t>(</w:t>
      </w:r>
      <w:hyperlink r:id="rId10">
        <w:r w:rsidRPr="4F1E6609">
          <w:rPr>
            <w:rStyle w:val="Hyperlink"/>
            <w:rFonts w:ascii="Calibri" w:eastAsia="Calibri" w:hAnsi="Calibri" w:cs="Calibri"/>
            <w:sz w:val="22"/>
            <w:szCs w:val="22"/>
          </w:rPr>
          <w:t>https://apply.interfolio.com/97694)</w:t>
        </w:r>
      </w:hyperlink>
      <w:r>
        <w:t xml:space="preserve"> with tenure or tenure-track assistant professor (position #53653) </w:t>
      </w:r>
      <w:r w:rsidRPr="4F1E6609">
        <w:rPr>
          <w:rFonts w:ascii="Verdana" w:eastAsia="Verdana" w:hAnsi="Verdana" w:cs="Verdana"/>
          <w:color w:val="000000" w:themeColor="text1"/>
          <w:sz w:val="22"/>
          <w:szCs w:val="22"/>
        </w:rPr>
        <w:t>(</w:t>
      </w:r>
      <w:hyperlink r:id="rId11">
        <w:r w:rsidRPr="4F1E6609">
          <w:rPr>
            <w:rStyle w:val="Hyperlink"/>
            <w:rFonts w:ascii="Calibri" w:eastAsia="Calibri" w:hAnsi="Calibri" w:cs="Calibri"/>
            <w:sz w:val="22"/>
            <w:szCs w:val="22"/>
          </w:rPr>
          <w:t>https://apply.interfolio.com/97695</w:t>
        </w:r>
      </w:hyperlink>
      <w:r w:rsidRPr="4F1E6609">
        <w:rPr>
          <w:rFonts w:ascii="Verdana" w:eastAsia="Verdana" w:hAnsi="Verdana" w:cs="Verdana"/>
          <w:color w:val="000000" w:themeColor="text1"/>
          <w:sz w:val="22"/>
          <w:szCs w:val="22"/>
        </w:rPr>
        <w:t>)</w:t>
      </w:r>
      <w:r>
        <w:t xml:space="preserve"> levels.</w:t>
      </w:r>
    </w:p>
    <w:p w14:paraId="3095EDBB" w14:textId="1BC1040F" w:rsidR="00C325DA" w:rsidRPr="00C325DA" w:rsidRDefault="00C325DA" w:rsidP="4F1E6609"/>
    <w:p w14:paraId="575A7DA5" w14:textId="29F53050" w:rsidR="00C325DA" w:rsidRPr="00C325DA" w:rsidRDefault="4F1E6609" w:rsidP="4F1E6609">
      <w:r>
        <w:t xml:space="preserve">Hiring is contingent upon the satisfactory completion of a background check. SMU will not discriminate in any program or activity on the basis of race, color, religion, national origin, sex, age, disability, genetic information, veteran status, sexual orientation, or gender identity and expression. The Executive Director for Access and Equity/Title IX Coordinator is designated to handle inquiries regarding nondiscrimination policies and may be reached at the Perkins Administration Building, Room 204, 6425 Boaz Lane, Dallas, TX 75205, 214-768-3601, </w:t>
      </w:r>
      <w:hyperlink r:id="rId12">
        <w:r w:rsidRPr="4F1E6609">
          <w:rPr>
            <w:rStyle w:val="Hyperlink"/>
          </w:rPr>
          <w:t>accessequity@smu.edu</w:t>
        </w:r>
      </w:hyperlink>
      <w:r>
        <w:t xml:space="preserve">. </w:t>
      </w:r>
    </w:p>
    <w:p w14:paraId="72A3D3EC" w14:textId="77777777" w:rsidR="00C325DA" w:rsidRDefault="00C325DA"/>
    <w:p w14:paraId="0D0B940D" w14:textId="77777777" w:rsidR="00C325DA" w:rsidRDefault="00C325DA"/>
    <w:sectPr w:rsidR="00C325DA" w:rsidSect="00466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E0404"/>
    <w:multiLevelType w:val="hybridMultilevel"/>
    <w:tmpl w:val="8904CB00"/>
    <w:lvl w:ilvl="0" w:tplc="401A7594">
      <w:start w:val="1"/>
      <w:numFmt w:val="bullet"/>
      <w:lvlText w:val=""/>
      <w:lvlJc w:val="left"/>
      <w:pPr>
        <w:ind w:left="720" w:hanging="360"/>
      </w:pPr>
      <w:rPr>
        <w:rFonts w:ascii="Symbol" w:hAnsi="Symbol" w:hint="default"/>
      </w:rPr>
    </w:lvl>
    <w:lvl w:ilvl="1" w:tplc="09183302">
      <w:start w:val="1"/>
      <w:numFmt w:val="bullet"/>
      <w:lvlText w:val="o"/>
      <w:lvlJc w:val="left"/>
      <w:pPr>
        <w:ind w:left="1440" w:hanging="360"/>
      </w:pPr>
      <w:rPr>
        <w:rFonts w:ascii="Courier New" w:hAnsi="Courier New" w:hint="default"/>
      </w:rPr>
    </w:lvl>
    <w:lvl w:ilvl="2" w:tplc="1AC8C1FC">
      <w:start w:val="1"/>
      <w:numFmt w:val="bullet"/>
      <w:lvlText w:val=""/>
      <w:lvlJc w:val="left"/>
      <w:pPr>
        <w:ind w:left="2160" w:hanging="360"/>
      </w:pPr>
      <w:rPr>
        <w:rFonts w:ascii="Wingdings" w:hAnsi="Wingdings" w:hint="default"/>
      </w:rPr>
    </w:lvl>
    <w:lvl w:ilvl="3" w:tplc="5FF46AC8">
      <w:start w:val="1"/>
      <w:numFmt w:val="bullet"/>
      <w:lvlText w:val=""/>
      <w:lvlJc w:val="left"/>
      <w:pPr>
        <w:ind w:left="2880" w:hanging="360"/>
      </w:pPr>
      <w:rPr>
        <w:rFonts w:ascii="Symbol" w:hAnsi="Symbol" w:hint="default"/>
      </w:rPr>
    </w:lvl>
    <w:lvl w:ilvl="4" w:tplc="059202AA">
      <w:start w:val="1"/>
      <w:numFmt w:val="bullet"/>
      <w:lvlText w:val="o"/>
      <w:lvlJc w:val="left"/>
      <w:pPr>
        <w:ind w:left="3600" w:hanging="360"/>
      </w:pPr>
      <w:rPr>
        <w:rFonts w:ascii="Courier New" w:hAnsi="Courier New" w:hint="default"/>
      </w:rPr>
    </w:lvl>
    <w:lvl w:ilvl="5" w:tplc="98BABB54">
      <w:start w:val="1"/>
      <w:numFmt w:val="bullet"/>
      <w:lvlText w:val=""/>
      <w:lvlJc w:val="left"/>
      <w:pPr>
        <w:ind w:left="4320" w:hanging="360"/>
      </w:pPr>
      <w:rPr>
        <w:rFonts w:ascii="Wingdings" w:hAnsi="Wingdings" w:hint="default"/>
      </w:rPr>
    </w:lvl>
    <w:lvl w:ilvl="6" w:tplc="F462D990">
      <w:start w:val="1"/>
      <w:numFmt w:val="bullet"/>
      <w:lvlText w:val=""/>
      <w:lvlJc w:val="left"/>
      <w:pPr>
        <w:ind w:left="5040" w:hanging="360"/>
      </w:pPr>
      <w:rPr>
        <w:rFonts w:ascii="Symbol" w:hAnsi="Symbol" w:hint="default"/>
      </w:rPr>
    </w:lvl>
    <w:lvl w:ilvl="7" w:tplc="FE1AD368">
      <w:start w:val="1"/>
      <w:numFmt w:val="bullet"/>
      <w:lvlText w:val="o"/>
      <w:lvlJc w:val="left"/>
      <w:pPr>
        <w:ind w:left="5760" w:hanging="360"/>
      </w:pPr>
      <w:rPr>
        <w:rFonts w:ascii="Courier New" w:hAnsi="Courier New" w:hint="default"/>
      </w:rPr>
    </w:lvl>
    <w:lvl w:ilvl="8" w:tplc="BEB8089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5DA"/>
    <w:rsid w:val="00130FE6"/>
    <w:rsid w:val="00466862"/>
    <w:rsid w:val="00482CBC"/>
    <w:rsid w:val="00516D02"/>
    <w:rsid w:val="005A2DB8"/>
    <w:rsid w:val="006F612D"/>
    <w:rsid w:val="00712455"/>
    <w:rsid w:val="00B56171"/>
    <w:rsid w:val="00C325DA"/>
    <w:rsid w:val="00C842EB"/>
    <w:rsid w:val="00D71A4F"/>
    <w:rsid w:val="00E4226F"/>
    <w:rsid w:val="4F1E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F5A4"/>
  <w15:chartTrackingRefBased/>
  <w15:docId w15:val="{F30B95A2-1CD4-C54A-B5DB-370CAA15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5DA"/>
    <w:rPr>
      <w:color w:val="0563C1" w:themeColor="hyperlink"/>
      <w:u w:val="single"/>
    </w:rPr>
  </w:style>
  <w:style w:type="character" w:customStyle="1" w:styleId="UnresolvedMention1">
    <w:name w:val="Unresolved Mention1"/>
    <w:basedOn w:val="DefaultParagraphFont"/>
    <w:uiPriority w:val="99"/>
    <w:semiHidden/>
    <w:unhideWhenUsed/>
    <w:rsid w:val="00C325DA"/>
    <w:rPr>
      <w:color w:val="605E5C"/>
      <w:shd w:val="clear" w:color="auto" w:fill="E1DFDD"/>
    </w:rPr>
  </w:style>
  <w:style w:type="character" w:styleId="CommentReference">
    <w:name w:val="annotation reference"/>
    <w:basedOn w:val="DefaultParagraphFont"/>
    <w:uiPriority w:val="99"/>
    <w:semiHidden/>
    <w:unhideWhenUsed/>
    <w:rsid w:val="00B56171"/>
    <w:rPr>
      <w:sz w:val="16"/>
      <w:szCs w:val="16"/>
    </w:rPr>
  </w:style>
  <w:style w:type="paragraph" w:styleId="CommentText">
    <w:name w:val="annotation text"/>
    <w:basedOn w:val="Normal"/>
    <w:link w:val="CommentTextChar"/>
    <w:uiPriority w:val="99"/>
    <w:semiHidden/>
    <w:unhideWhenUsed/>
    <w:rsid w:val="00B56171"/>
    <w:rPr>
      <w:sz w:val="20"/>
      <w:szCs w:val="20"/>
    </w:rPr>
  </w:style>
  <w:style w:type="character" w:customStyle="1" w:styleId="CommentTextChar">
    <w:name w:val="Comment Text Char"/>
    <w:basedOn w:val="DefaultParagraphFont"/>
    <w:link w:val="CommentText"/>
    <w:uiPriority w:val="99"/>
    <w:semiHidden/>
    <w:rsid w:val="00B56171"/>
    <w:rPr>
      <w:sz w:val="20"/>
      <w:szCs w:val="20"/>
    </w:rPr>
  </w:style>
  <w:style w:type="paragraph" w:styleId="CommentSubject">
    <w:name w:val="annotation subject"/>
    <w:basedOn w:val="CommentText"/>
    <w:next w:val="CommentText"/>
    <w:link w:val="CommentSubjectChar"/>
    <w:uiPriority w:val="99"/>
    <w:semiHidden/>
    <w:unhideWhenUsed/>
    <w:rsid w:val="00B56171"/>
    <w:rPr>
      <w:b/>
      <w:bCs/>
    </w:rPr>
  </w:style>
  <w:style w:type="character" w:customStyle="1" w:styleId="CommentSubjectChar">
    <w:name w:val="Comment Subject Char"/>
    <w:basedOn w:val="CommentTextChar"/>
    <w:link w:val="CommentSubject"/>
    <w:uiPriority w:val="99"/>
    <w:semiHidden/>
    <w:rsid w:val="00B56171"/>
    <w:rPr>
      <w:b/>
      <w:bCs/>
      <w:sz w:val="20"/>
      <w:szCs w:val="20"/>
    </w:rPr>
  </w:style>
  <w:style w:type="paragraph" w:styleId="BalloonText">
    <w:name w:val="Balloon Text"/>
    <w:basedOn w:val="Normal"/>
    <w:link w:val="BalloonTextChar"/>
    <w:uiPriority w:val="99"/>
    <w:semiHidden/>
    <w:unhideWhenUsed/>
    <w:rsid w:val="00B561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1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uevas@sm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bing@smu.edu" TargetMode="External"/><Relationship Id="rId12" Type="http://schemas.openxmlformats.org/officeDocument/2006/relationships/hyperlink" Target="mailto:accessequity@s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ly.interfolio.com/97696" TargetMode="External"/><Relationship Id="rId11" Type="http://schemas.openxmlformats.org/officeDocument/2006/relationships/hyperlink" Target="https://apply.interfolio.com/97695" TargetMode="External"/><Relationship Id="rId5" Type="http://schemas.openxmlformats.org/officeDocument/2006/relationships/hyperlink" Target="https://www.smu.edu/dedman/academics/departments/psychology" TargetMode="External"/><Relationship Id="rId10" Type="http://schemas.openxmlformats.org/officeDocument/2006/relationships/hyperlink" Target="https://apply.interfolio.com/97694)" TargetMode="External"/><Relationship Id="rId4" Type="http://schemas.openxmlformats.org/officeDocument/2006/relationships/webSettings" Target="webSettings.xml"/><Relationship Id="rId9" Type="http://schemas.openxmlformats.org/officeDocument/2006/relationships/hyperlink" Target="https://apply.interfolio.com/9769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Gayle, Tamra</cp:lastModifiedBy>
  <cp:revision>2</cp:revision>
  <dcterms:created xsi:type="dcterms:W3CDTF">2021-12-01T20:47:00Z</dcterms:created>
  <dcterms:modified xsi:type="dcterms:W3CDTF">2021-12-01T20:47:00Z</dcterms:modified>
</cp:coreProperties>
</file>